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25ECE" w14:textId="41432E44" w:rsidR="00F364D1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bookmarkStart w:id="0" w:name="_Hlk492190689"/>
      <w:r w:rsidRPr="00F364D1">
        <w:rPr>
          <w:rFonts w:ascii="Arial" w:eastAsia="SimSun" w:hAnsi="Arial" w:cs="Arial"/>
          <w:bCs/>
          <w:sz w:val="20"/>
          <w:lang w:eastAsia="en-US"/>
        </w:rPr>
        <w:t>3GPP TSG RAN WG1 #119</w:t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Pr="00F364D1">
        <w:rPr>
          <w:rFonts w:ascii="Arial" w:eastAsia="SimSun" w:hAnsi="Arial" w:cs="Arial"/>
          <w:bCs/>
          <w:sz w:val="20"/>
          <w:lang w:eastAsia="en-US"/>
        </w:rPr>
        <w:t>R1-24</w:t>
      </w:r>
      <w:r w:rsidR="006C6D91">
        <w:rPr>
          <w:rFonts w:ascii="Arial" w:eastAsia="SimSun" w:hAnsi="Arial" w:cs="Arial"/>
          <w:bCs/>
          <w:sz w:val="20"/>
          <w:lang w:eastAsia="en-US"/>
        </w:rPr>
        <w:t>1075</w:t>
      </w:r>
      <w:r w:rsidR="00225A30">
        <w:rPr>
          <w:rFonts w:ascii="Arial" w:eastAsia="SimSun" w:hAnsi="Arial" w:cs="Arial"/>
          <w:bCs/>
          <w:sz w:val="20"/>
          <w:lang w:eastAsia="en-US"/>
        </w:rPr>
        <w:t>8</w:t>
      </w:r>
    </w:p>
    <w:p w14:paraId="6256AE8E" w14:textId="531612F7" w:rsidR="00E93E89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F364D1">
        <w:rPr>
          <w:rFonts w:ascii="Arial" w:eastAsia="SimSun" w:hAnsi="Arial" w:cs="Arial"/>
          <w:bCs/>
          <w:sz w:val="20"/>
          <w:lang w:eastAsia="en-US"/>
        </w:rPr>
        <w:t>Orlando, US, November 18th – 22nd, 2024</w:t>
      </w:r>
    </w:p>
    <w:p w14:paraId="4C8F0FCF" w14:textId="27BEE845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p w14:paraId="61E16652" w14:textId="77777777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1AF99022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84DD7" w:rsidRPr="00F84DD7">
        <w:rPr>
          <w:rFonts w:ascii="Arial" w:hAnsi="Arial" w:cs="Arial"/>
        </w:rPr>
        <w:t>LS to RAN2 on RRC and MAC impacts for Rel-19 NR MIMO Ph5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2561EA6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25A30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4BA0B561" w:rsidR="00EE1FDB" w:rsidRDefault="00EE1FDB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Pertaining to the Rel-19 NR MIMO Ph5 WI, </w:t>
      </w:r>
      <w:r w:rsidR="009A7896"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="009A7896" w:rsidRPr="00E17308">
        <w:rPr>
          <w:sz w:val="22"/>
          <w:szCs w:val="22"/>
        </w:rPr>
        <w:t xml:space="preserve"> about </w:t>
      </w:r>
      <w:r>
        <w:rPr>
          <w:sz w:val="22"/>
          <w:szCs w:val="22"/>
        </w:rPr>
        <w:t>the following:</w:t>
      </w:r>
    </w:p>
    <w:p w14:paraId="6F5B2D37" w14:textId="77777777" w:rsidR="00EE1FDB" w:rsidRDefault="00EE1FDB" w:rsidP="007F1A8A">
      <w:pPr>
        <w:snapToGrid w:val="0"/>
        <w:jc w:val="both"/>
        <w:rPr>
          <w:sz w:val="22"/>
          <w:szCs w:val="22"/>
        </w:rPr>
      </w:pPr>
    </w:p>
    <w:p w14:paraId="67EC1215" w14:textId="66664AAD" w:rsidR="00EE1FDB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 </w:t>
      </w:r>
      <w:r w:rsidR="001B7A8C" w:rsidRPr="001B7A8C">
        <w:rPr>
          <w:i/>
          <w:sz w:val="22"/>
          <w:szCs w:val="22"/>
          <w:lang w:val="en-US"/>
        </w:rPr>
        <w:t>revised</w:t>
      </w:r>
      <w:r>
        <w:rPr>
          <w:sz w:val="22"/>
          <w:szCs w:val="22"/>
          <w:lang w:val="en-US"/>
        </w:rPr>
        <w:t xml:space="preserve"> list of </w:t>
      </w:r>
      <w:r w:rsidRPr="00EE1FDB">
        <w:rPr>
          <w:sz w:val="22"/>
          <w:szCs w:val="22"/>
        </w:rPr>
        <w:t>RRC</w:t>
      </w:r>
      <w:r>
        <w:rPr>
          <w:sz w:val="22"/>
          <w:szCs w:val="22"/>
          <w:lang w:val="en-US"/>
        </w:rPr>
        <w:t xml:space="preserve"> parameters (excel spreadsheet attached)</w:t>
      </w:r>
    </w:p>
    <w:p w14:paraId="6BFFB3C6" w14:textId="77777777" w:rsidR="00EE1FDB" w:rsidRPr="00EE1FDB" w:rsidRDefault="00EE1FDB" w:rsidP="00EE1FDB">
      <w:pPr>
        <w:pStyle w:val="ListParagraph"/>
        <w:snapToGrid w:val="0"/>
        <w:jc w:val="both"/>
        <w:rPr>
          <w:sz w:val="22"/>
          <w:szCs w:val="22"/>
        </w:rPr>
      </w:pPr>
    </w:p>
    <w:p w14:paraId="2A005E9A" w14:textId="731B1F7F" w:rsidR="007E2D76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 w:rsidRPr="001B7A8C">
        <w:rPr>
          <w:i/>
          <w:sz w:val="22"/>
          <w:szCs w:val="22"/>
          <w:lang w:val="en-US"/>
        </w:rPr>
        <w:t>A</w:t>
      </w:r>
      <w:r w:rsidR="001B7A8C" w:rsidRPr="001B7A8C">
        <w:rPr>
          <w:i/>
          <w:sz w:val="22"/>
          <w:szCs w:val="22"/>
          <w:lang w:val="en-US"/>
        </w:rPr>
        <w:t>dditional</w:t>
      </w:r>
      <w:r>
        <w:rPr>
          <w:sz w:val="22"/>
          <w:szCs w:val="22"/>
          <w:lang w:val="en-US"/>
        </w:rPr>
        <w:t xml:space="preserve"> agreement</w:t>
      </w:r>
      <w:r w:rsidR="001B7A8C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requiring MAC </w:t>
      </w:r>
      <w:bookmarkStart w:id="1" w:name="_GoBack"/>
      <w:bookmarkEnd w:id="1"/>
      <w:r>
        <w:rPr>
          <w:sz w:val="22"/>
          <w:szCs w:val="22"/>
          <w:lang w:val="en-US"/>
        </w:rPr>
        <w:t>support:</w:t>
      </w:r>
    </w:p>
    <w:p w14:paraId="4A67720B" w14:textId="77777777" w:rsidR="00EE1FDB" w:rsidRPr="00EE1FDB" w:rsidRDefault="00EE1FDB" w:rsidP="00EE1FDB">
      <w:pPr>
        <w:pStyle w:val="ListParagraph"/>
        <w:rPr>
          <w:sz w:val="22"/>
          <w:szCs w:val="22"/>
        </w:rPr>
      </w:pPr>
    </w:p>
    <w:p w14:paraId="0B172C44" w14:textId="77777777" w:rsidR="006C6D91" w:rsidRPr="000B132D" w:rsidRDefault="006C6D91" w:rsidP="006C6D91">
      <w:pPr>
        <w:rPr>
          <w:rFonts w:eastAsia="DengXian"/>
          <w:b/>
          <w:bCs/>
          <w:lang w:val="en-CA"/>
        </w:rPr>
      </w:pPr>
      <w:r w:rsidRPr="000B132D">
        <w:rPr>
          <w:rFonts w:eastAsia="DengXian"/>
          <w:b/>
          <w:bCs/>
          <w:highlight w:val="green"/>
          <w:lang w:val="en-CA"/>
        </w:rPr>
        <w:t>Agreement</w:t>
      </w:r>
    </w:p>
    <w:p w14:paraId="1309E175" w14:textId="77777777" w:rsidR="006C6D91" w:rsidRPr="000B132D" w:rsidRDefault="006C6D91" w:rsidP="006C6D91">
      <w:pPr>
        <w:rPr>
          <w:rFonts w:eastAsia="DengXian"/>
        </w:rPr>
      </w:pPr>
      <w:r w:rsidRPr="000B132D">
        <w:rPr>
          <w:lang w:eastAsia="zh-CN"/>
        </w:rPr>
        <w:t xml:space="preserve">Support 2TA for the </w:t>
      </w:r>
      <w:r w:rsidRPr="000B132D">
        <w:rPr>
          <w:rFonts w:eastAsia="DengXian"/>
        </w:rPr>
        <w:t xml:space="preserve">asymmetric DL </w:t>
      </w:r>
      <w:proofErr w:type="spellStart"/>
      <w:r w:rsidRPr="000B132D">
        <w:rPr>
          <w:rFonts w:eastAsia="DengXian"/>
        </w:rPr>
        <w:t>sTRP</w:t>
      </w:r>
      <w:proofErr w:type="spellEnd"/>
      <w:r w:rsidRPr="000B132D">
        <w:rPr>
          <w:rFonts w:eastAsia="DengXian"/>
        </w:rPr>
        <w:t xml:space="preserve">/UL </w:t>
      </w:r>
      <w:proofErr w:type="spellStart"/>
      <w:r w:rsidRPr="000B132D">
        <w:rPr>
          <w:rFonts w:eastAsia="DengXian"/>
        </w:rPr>
        <w:t>mTRP</w:t>
      </w:r>
      <w:proofErr w:type="spellEnd"/>
      <w:r w:rsidRPr="000B132D">
        <w:rPr>
          <w:rFonts w:eastAsia="DengXian"/>
        </w:rPr>
        <w:t xml:space="preserve"> deployment scenarios:</w:t>
      </w:r>
    </w:p>
    <w:p w14:paraId="7D1AF42E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Remove the restriction that </w:t>
      </w:r>
      <w:proofErr w:type="spellStart"/>
      <w:r w:rsidRPr="000B132D">
        <w:rPr>
          <w:rFonts w:ascii="Times New Roman" w:eastAsia="DengXian" w:hAnsi="Times New Roman" w:cs="Times New Roman"/>
          <w:i/>
          <w:iCs/>
          <w:sz w:val="20"/>
          <w:szCs w:val="20"/>
        </w:rPr>
        <w:t>coresetPoolIndex</w:t>
      </w:r>
      <w:proofErr w:type="spellEnd"/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 needs to be configured</w:t>
      </w:r>
      <w:r w:rsidRPr="000B132D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the 2TA feature</w:t>
      </w:r>
      <w:r w:rsidRPr="000B132D">
        <w:rPr>
          <w:rFonts w:ascii="Times New Roman" w:eastAsia="DengXian" w:hAnsi="Times New Roman" w:cs="Times New Roman"/>
          <w:sz w:val="20"/>
          <w:szCs w:val="20"/>
        </w:rPr>
        <w:t>.</w:t>
      </w:r>
    </w:p>
    <w:p w14:paraId="0E168F23" w14:textId="77777777" w:rsidR="006C6D91" w:rsidRPr="000B132D" w:rsidRDefault="006C6D91" w:rsidP="006C6D91">
      <w:pPr>
        <w:numPr>
          <w:ilvl w:val="0"/>
          <w:numId w:val="39"/>
        </w:numPr>
        <w:jc w:val="both"/>
        <w:rPr>
          <w:rFonts w:eastAsia="DengXian"/>
          <w:lang w:val="en-CA"/>
        </w:rPr>
      </w:pPr>
      <w:r w:rsidRPr="000B132D">
        <w:rPr>
          <w:rFonts w:eastAsia="DengXian"/>
          <w:lang w:val="en-CA"/>
        </w:rPr>
        <w:t>One downlink reference timing is supported and applied to both TAGs.</w:t>
      </w:r>
    </w:p>
    <w:p w14:paraId="127DE019" w14:textId="77777777" w:rsidR="006C6D91" w:rsidRPr="000B132D" w:rsidRDefault="006C6D91" w:rsidP="006C6D91">
      <w:pPr>
        <w:pStyle w:val="0Maintext"/>
        <w:widowControl/>
        <w:numPr>
          <w:ilvl w:val="1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val="en-CA"/>
        </w:rPr>
      </w:pPr>
      <w:r w:rsidRPr="000B132D">
        <w:rPr>
          <w:rFonts w:ascii="Times New Roman" w:hAnsi="Times New Roman" w:cs="Times New Roman"/>
          <w:sz w:val="20"/>
          <w:szCs w:val="20"/>
        </w:rPr>
        <w:t>(FFS) Note: UE autonomous TA adjustment is only applicable to the first TAG</w:t>
      </w:r>
    </w:p>
    <w:p w14:paraId="020AE345" w14:textId="77777777" w:rsidR="006C6D91" w:rsidRPr="000B132D" w:rsidRDefault="006C6D91" w:rsidP="006C6D91">
      <w:pPr>
        <w:numPr>
          <w:ilvl w:val="0"/>
          <w:numId w:val="39"/>
        </w:numPr>
        <w:jc w:val="both"/>
        <w:rPr>
          <w:rFonts w:eastAsia="DengXian"/>
          <w:lang w:val="en-CA"/>
        </w:rPr>
      </w:pPr>
      <w:r w:rsidRPr="000B132D">
        <w:rPr>
          <w:rFonts w:eastAsia="DengXian"/>
          <w:lang w:val="en-CA"/>
        </w:rPr>
        <w:t xml:space="preserve">One single </w:t>
      </w:r>
      <w:r w:rsidRPr="000B132D">
        <w:rPr>
          <w:rFonts w:eastAsia="DengXian"/>
          <w:i/>
          <w:iCs/>
          <w:lang w:val="en-CA"/>
        </w:rPr>
        <w:t>n-</w:t>
      </w:r>
      <w:proofErr w:type="spellStart"/>
      <w:r w:rsidRPr="000B132D">
        <w:rPr>
          <w:rFonts w:eastAsia="DengXian"/>
          <w:i/>
          <w:iCs/>
          <w:lang w:val="en-CA"/>
        </w:rPr>
        <w:t>TimingAdvanceoffset</w:t>
      </w:r>
      <w:proofErr w:type="spellEnd"/>
      <w:r w:rsidRPr="000B132D">
        <w:rPr>
          <w:rFonts w:eastAsia="DengXian"/>
          <w:lang w:val="en-CA"/>
        </w:rPr>
        <w:t xml:space="preserve"> is configured and applied to both TAGs.</w:t>
      </w:r>
    </w:p>
    <w:p w14:paraId="76BD8CC7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B132D">
        <w:rPr>
          <w:rFonts w:ascii="Times New Roman" w:eastAsia="DengXian" w:hAnsi="Times New Roman" w:cs="Times New Roman"/>
          <w:sz w:val="20"/>
          <w:szCs w:val="20"/>
          <w:lang w:val="en-CA" w:eastAsia="zh-CN"/>
        </w:rPr>
        <w:t>Any of the TCI states can be associated with any one of the two TAGs.</w:t>
      </w:r>
    </w:p>
    <w:p w14:paraId="60CEAFC5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 xml:space="preserve">The RAR carrying TA adjustment for those 2 TAGs is reused for Rel-19 2TA </w:t>
      </w:r>
    </w:p>
    <w:p w14:paraId="743A04AF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The MAC CE based TA adjustment for 2 TAGs is reused for Rel-19 2TA.</w:t>
      </w:r>
    </w:p>
    <w:p w14:paraId="70D2B1E5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Introduce the optional UE capability of “Overlapping UL transmission reduction” for Rel-19 2TA</w:t>
      </w:r>
    </w:p>
    <w:p w14:paraId="5DFF9600" w14:textId="77777777" w:rsidR="006C6D91" w:rsidRPr="000B132D" w:rsidRDefault="006C6D91" w:rsidP="006C6D91">
      <w:pPr>
        <w:pStyle w:val="0Maintext"/>
        <w:widowControl/>
        <w:numPr>
          <w:ilvl w:val="1"/>
          <w:numId w:val="39"/>
        </w:numPr>
        <w:spacing w:after="0" w:afterAutospacing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eastAsia="DengXian" w:hAnsi="Times New Roman" w:cs="Times New Roman"/>
          <w:sz w:val="20"/>
          <w:szCs w:val="20"/>
        </w:rPr>
        <w:t>If UE does not report this UE capability, UE does not expect two UL transmissions associated with different TAGs are overlapped.</w:t>
      </w:r>
    </w:p>
    <w:p w14:paraId="312A68ED" w14:textId="77777777" w:rsidR="006C6D91" w:rsidRPr="000B132D" w:rsidRDefault="006C6D91" w:rsidP="006C6D91">
      <w:pPr>
        <w:pStyle w:val="0Maintext"/>
        <w:widowControl/>
        <w:numPr>
          <w:ilvl w:val="0"/>
          <w:numId w:val="39"/>
        </w:numPr>
        <w:spacing w:after="0" w:afterAutospacing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0B132D">
        <w:rPr>
          <w:rFonts w:ascii="Times New Roman" w:hAnsi="Times New Roman" w:cs="Times New Roman"/>
          <w:sz w:val="20"/>
          <w:szCs w:val="20"/>
          <w:lang w:eastAsia="zh-CN"/>
        </w:rPr>
        <w:t xml:space="preserve">FFS: UE does not expect that in intra-slot TDM PUSCH type-B repetition transmission, </w:t>
      </w:r>
      <w:r w:rsidRPr="000B132D">
        <w:rPr>
          <w:rFonts w:ascii="Times New Roman" w:eastAsia="DengXian" w:hAnsi="Times New Roman" w:cs="Times New Roman"/>
          <w:sz w:val="20"/>
          <w:szCs w:val="20"/>
        </w:rPr>
        <w:t>two consecutive repetitions associated with different TAGs are overlapped.</w:t>
      </w:r>
    </w:p>
    <w:p w14:paraId="4308074B" w14:textId="77777777" w:rsidR="006C6D91" w:rsidRPr="00EA1812" w:rsidRDefault="006C6D91" w:rsidP="006C6D91">
      <w:pPr>
        <w:spacing w:line="240" w:lineRule="exact"/>
        <w:rPr>
          <w:rFonts w:eastAsia="PMingLiU"/>
          <w:b/>
          <w:bCs/>
        </w:rPr>
      </w:pPr>
      <w:r w:rsidRPr="00EA1812">
        <w:rPr>
          <w:rFonts w:eastAsia="PMingLiU"/>
          <w:b/>
          <w:bCs/>
        </w:rPr>
        <w:t>“RAN2 could check whether this RAN1 agreement would cause any MAC impact”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5F78CBD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1CCAA449" w14:textId="0278D1D0" w:rsidR="001B7A8C" w:rsidRDefault="001B7A8C" w:rsidP="001B7A8C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</w:t>
      </w:r>
      <w:r w:rsidRPr="00115C5B">
        <w:rPr>
          <w:bCs/>
          <w:sz w:val="22"/>
          <w:szCs w:val="22"/>
        </w:rPr>
        <w:t xml:space="preserve">                   </w:t>
      </w:r>
      <w:r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732390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Athens, Greece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91AB8" w14:textId="77777777" w:rsidR="00216E1E" w:rsidRDefault="00216E1E" w:rsidP="00A0385F">
      <w:r>
        <w:separator/>
      </w:r>
    </w:p>
  </w:endnote>
  <w:endnote w:type="continuationSeparator" w:id="0">
    <w:p w14:paraId="64F44CA9" w14:textId="77777777" w:rsidR="00216E1E" w:rsidRDefault="00216E1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9F52D" w14:textId="77777777" w:rsidR="00216E1E" w:rsidRDefault="00216E1E" w:rsidP="00A0385F">
      <w:r>
        <w:separator/>
      </w:r>
    </w:p>
  </w:footnote>
  <w:footnote w:type="continuationSeparator" w:id="0">
    <w:p w14:paraId="667FABC4" w14:textId="77777777" w:rsidR="00216E1E" w:rsidRDefault="00216E1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9"/>
  </w:num>
  <w:num w:numId="9">
    <w:abstractNumId w:val="5"/>
  </w:num>
  <w:num w:numId="10">
    <w:abstractNumId w:val="24"/>
  </w:num>
  <w:num w:numId="11">
    <w:abstractNumId w:val="30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6"/>
  </w:num>
  <w:num w:numId="15">
    <w:abstractNumId w:val="31"/>
  </w:num>
  <w:num w:numId="16">
    <w:abstractNumId w:val="11"/>
  </w:num>
  <w:num w:numId="17">
    <w:abstractNumId w:val="33"/>
  </w:num>
  <w:num w:numId="18">
    <w:abstractNumId w:val="12"/>
  </w:num>
  <w:num w:numId="19">
    <w:abstractNumId w:val="2"/>
  </w:num>
  <w:num w:numId="20">
    <w:abstractNumId w:val="4"/>
  </w:num>
  <w:num w:numId="21">
    <w:abstractNumId w:val="32"/>
  </w:num>
  <w:num w:numId="22">
    <w:abstractNumId w:val="19"/>
  </w:num>
  <w:num w:numId="23">
    <w:abstractNumId w:val="13"/>
  </w:num>
  <w:num w:numId="24">
    <w:abstractNumId w:val="26"/>
  </w:num>
  <w:num w:numId="25">
    <w:abstractNumId w:val="8"/>
  </w:num>
  <w:num w:numId="26">
    <w:abstractNumId w:val="16"/>
  </w:num>
  <w:num w:numId="27">
    <w:abstractNumId w:val="0"/>
  </w:num>
  <w:num w:numId="28">
    <w:abstractNumId w:val="25"/>
  </w:num>
  <w:num w:numId="29">
    <w:abstractNumId w:val="6"/>
  </w:num>
  <w:num w:numId="30">
    <w:abstractNumId w:val="34"/>
  </w:num>
  <w:num w:numId="31">
    <w:abstractNumId w:val="1"/>
  </w:num>
  <w:num w:numId="32">
    <w:abstractNumId w:val="37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 w:numId="37">
    <w:abstractNumId w:val="35"/>
  </w:num>
  <w:num w:numId="38">
    <w:abstractNumId w:val="27"/>
  </w:num>
  <w:num w:numId="3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4E31"/>
    <w:rsid w:val="00216E1E"/>
    <w:rsid w:val="002179C9"/>
    <w:rsid w:val="002227C7"/>
    <w:rsid w:val="0022433F"/>
    <w:rsid w:val="0022582D"/>
    <w:rsid w:val="00225A30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3107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3B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1812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364D1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3953-50C5-4A9F-9740-B9D56614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19</cp:revision>
  <cp:lastPrinted>2002-04-23T06:10:00Z</cp:lastPrinted>
  <dcterms:created xsi:type="dcterms:W3CDTF">2023-11-14T14:39:00Z</dcterms:created>
  <dcterms:modified xsi:type="dcterms:W3CDTF">2024-11-21T23:48:00Z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